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82" w:rsidRPr="00640AB5" w:rsidRDefault="00274F82" w:rsidP="00274F82">
      <w:pPr>
        <w:pStyle w:val="a3"/>
        <w:jc w:val="center"/>
      </w:pPr>
      <w:r w:rsidRPr="00274F82">
        <w:t xml:space="preserve"> </w:t>
      </w:r>
      <w:r>
        <w:rPr>
          <w:noProof/>
        </w:rPr>
        <w:drawing>
          <wp:inline distT="0" distB="0" distL="0" distR="0" wp14:anchorId="0061A784" wp14:editId="3D643125">
            <wp:extent cx="704850" cy="7048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82" w:rsidRPr="009D25A0" w:rsidRDefault="00274F82" w:rsidP="00274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274F82" w:rsidRPr="009D25A0" w:rsidRDefault="00274F82" w:rsidP="00274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274F82" w:rsidRPr="009D25A0" w:rsidRDefault="00274F82" w:rsidP="00274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274F82" w:rsidRPr="00BC1965" w:rsidRDefault="00274F82" w:rsidP="00274F82">
      <w:pPr>
        <w:pStyle w:val="a3"/>
        <w:jc w:val="center"/>
        <w:rPr>
          <w:b/>
          <w:sz w:val="28"/>
          <w:szCs w:val="28"/>
        </w:rPr>
      </w:pPr>
      <w:r w:rsidRPr="00640AB5">
        <w:rPr>
          <w:sz w:val="16"/>
          <w:szCs w:val="16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640AB5">
        <w:rPr>
          <w:sz w:val="16"/>
          <w:szCs w:val="16"/>
        </w:rPr>
        <w:t>Кизилюртовский</w:t>
      </w:r>
      <w:proofErr w:type="spellEnd"/>
      <w:r w:rsidRPr="00640AB5">
        <w:rPr>
          <w:sz w:val="16"/>
          <w:szCs w:val="16"/>
        </w:rPr>
        <w:t xml:space="preserve">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ечаевка</w:t>
      </w:r>
      <w:proofErr w:type="spellEnd"/>
      <w:r w:rsidRPr="00640AB5">
        <w:rPr>
          <w:sz w:val="16"/>
          <w:szCs w:val="16"/>
        </w:rPr>
        <w:t xml:space="preserve">, </w:t>
      </w:r>
      <w:proofErr w:type="spellStart"/>
      <w:r w:rsidRPr="00640AB5">
        <w:rPr>
          <w:sz w:val="16"/>
          <w:szCs w:val="16"/>
        </w:rPr>
        <w:t>ул.И.Шамиля</w:t>
      </w:r>
      <w:proofErr w:type="spellEnd"/>
      <w:r w:rsidRPr="00640AB5">
        <w:rPr>
          <w:sz w:val="16"/>
          <w:szCs w:val="16"/>
        </w:rPr>
        <w:t>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274F82" w:rsidRPr="00733BA7" w:rsidTr="00513C84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74F82" w:rsidRPr="00733BA7" w:rsidRDefault="00274F82" w:rsidP="00513C8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274F82" w:rsidRPr="009D64A5" w:rsidRDefault="00274F82" w:rsidP="00274F82">
      <w:pPr>
        <w:pStyle w:val="a5"/>
        <w:rPr>
          <w:szCs w:val="28"/>
        </w:rPr>
      </w:pPr>
      <w:proofErr w:type="gramStart"/>
      <w:r w:rsidRPr="00A02FB3">
        <w:t>П</w:t>
      </w:r>
      <w:proofErr w:type="gramEnd"/>
      <w:r w:rsidRPr="00A02FB3">
        <w:t xml:space="preserve"> О С Т А Н О В Л Е Н И Е</w:t>
      </w:r>
    </w:p>
    <w:p w:rsidR="00274F82" w:rsidRDefault="00274F82" w:rsidP="00274F82">
      <w:pPr>
        <w:widowControl w:val="0"/>
        <w:tabs>
          <w:tab w:val="left" w:pos="388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8100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13</w:t>
      </w:r>
      <w:r w:rsidRPr="00181009">
        <w:rPr>
          <w:sz w:val="28"/>
          <w:szCs w:val="28"/>
          <w:u w:val="single"/>
        </w:rPr>
        <w:t xml:space="preserve"> » 1</w:t>
      </w:r>
      <w:r>
        <w:rPr>
          <w:sz w:val="28"/>
          <w:szCs w:val="28"/>
          <w:u w:val="single"/>
        </w:rPr>
        <w:t>2</w:t>
      </w:r>
      <w:r w:rsidRPr="00181009">
        <w:rPr>
          <w:sz w:val="28"/>
          <w:szCs w:val="28"/>
          <w:u w:val="single"/>
        </w:rPr>
        <w:t xml:space="preserve">  2019г </w:t>
      </w:r>
      <w:r w:rsidRPr="001810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181009">
        <w:rPr>
          <w:sz w:val="28"/>
          <w:szCs w:val="28"/>
        </w:rPr>
        <w:t xml:space="preserve">                                                                               </w:t>
      </w:r>
      <w:r w:rsidRPr="00181009">
        <w:rPr>
          <w:sz w:val="28"/>
          <w:szCs w:val="28"/>
          <w:u w:val="single"/>
        </w:rPr>
        <w:t>№</w:t>
      </w:r>
      <w:r w:rsidR="00B508B3">
        <w:rPr>
          <w:sz w:val="28"/>
          <w:szCs w:val="28"/>
        </w:rPr>
        <w:t xml:space="preserve"> 45-П</w:t>
      </w:r>
      <w:r w:rsidRPr="00181009">
        <w:rPr>
          <w:sz w:val="28"/>
          <w:szCs w:val="28"/>
        </w:rPr>
        <w:t xml:space="preserve"> </w:t>
      </w:r>
    </w:p>
    <w:tbl>
      <w:tblPr>
        <w:tblW w:w="9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"/>
        <w:gridCol w:w="1763"/>
      </w:tblGrid>
      <w:tr w:rsidR="00274F82" w:rsidRPr="001E431D" w:rsidTr="00513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F82" w:rsidRPr="001D3A2B" w:rsidRDefault="00274F82" w:rsidP="00513C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pct"/>
            <w:hideMark/>
          </w:tcPr>
          <w:p w:rsidR="00274F82" w:rsidRPr="001D3A2B" w:rsidRDefault="00274F82" w:rsidP="00513C8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F82" w:rsidRDefault="00274F82" w:rsidP="00274F8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274F82" w:rsidRDefault="00274F82" w:rsidP="00274F8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4F82" w:rsidRPr="0072423E" w:rsidRDefault="00274F82" w:rsidP="00274F8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F82" w:rsidRPr="0072423E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</w:t>
      </w:r>
      <w:r w:rsidRPr="007242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г.                 № 209-ФЗ «</w:t>
      </w:r>
      <w:r w:rsidRPr="007242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274F82" w:rsidRPr="0072423E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2423E">
        <w:rPr>
          <w:rFonts w:ascii="Times New Roman" w:hAnsi="Times New Roman" w:cs="Times New Roman"/>
          <w:sz w:val="28"/>
          <w:szCs w:val="28"/>
        </w:rPr>
        <w:t>является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23E">
        <w:rPr>
          <w:rFonts w:ascii="Times New Roman" w:hAnsi="Times New Roman" w:cs="Times New Roman"/>
          <w:sz w:val="28"/>
          <w:szCs w:val="28"/>
        </w:rPr>
        <w:t>уполномоченным осуществлять:</w:t>
      </w:r>
    </w:p>
    <w:p w:rsidR="00274F82" w:rsidRPr="0072423E" w:rsidRDefault="00274F82" w:rsidP="00274F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</w:t>
      </w:r>
      <w:r>
        <w:rPr>
          <w:rFonts w:ascii="Times New Roman" w:hAnsi="Times New Roman"/>
          <w:sz w:val="28"/>
          <w:szCs w:val="28"/>
        </w:rPr>
        <w:t xml:space="preserve"> перечня муниципального имущества 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>, свободного от прав третьих лиц (</w:t>
      </w:r>
      <w:r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 (далее−</w:t>
      </w:r>
      <w:r w:rsidRPr="0072423E">
        <w:rPr>
          <w:rFonts w:ascii="Times New Roman" w:hAnsi="Times New Roman"/>
          <w:sz w:val="28"/>
          <w:szCs w:val="28"/>
        </w:rPr>
        <w:t xml:space="preserve"> имущество, перечень),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4F82" w:rsidRPr="00E21843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</w:t>
      </w:r>
      <w:r w:rsidRPr="0072423E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274F82" w:rsidRDefault="00274F82" w:rsidP="00274F82">
      <w:pPr>
        <w:pStyle w:val="ConsPlusNormal"/>
        <w:spacing w:line="360" w:lineRule="auto"/>
        <w:ind w:right="-143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представление в установленном законодательством порядке в а</w:t>
      </w:r>
      <w:r w:rsidRPr="00CD6CDF">
        <w:rPr>
          <w:rFonts w:ascii="Times New Roman" w:eastAsiaTheme="minorHAnsi" w:hAnsi="Times New Roman"/>
          <w:sz w:val="28"/>
          <w:szCs w:val="28"/>
        </w:rPr>
        <w:t xml:space="preserve">кционерное общество «Федеральная корпорация по развитию малого и среднего предпринимательства» (далее </w:t>
      </w:r>
      <w:r>
        <w:rPr>
          <w:rFonts w:ascii="Times New Roman" w:eastAsiaTheme="minorHAnsi" w:hAnsi="Times New Roman" w:cs="Times New Roman"/>
          <w:sz w:val="28"/>
          <w:szCs w:val="28"/>
        </w:rPr>
        <w:t>−</w:t>
      </w:r>
      <w:r w:rsidRPr="00CD6CDF">
        <w:rPr>
          <w:rFonts w:ascii="Times New Roman" w:eastAsiaTheme="minorHAnsi" w:hAnsi="Times New Roman"/>
          <w:sz w:val="28"/>
          <w:szCs w:val="28"/>
        </w:rPr>
        <w:t>АО «Корпорация «МСП»)</w:t>
      </w:r>
      <w:r>
        <w:rPr>
          <w:rFonts w:ascii="Times New Roman" w:eastAsiaTheme="minorHAnsi" w:hAnsi="Times New Roman"/>
          <w:sz w:val="28"/>
          <w:szCs w:val="28"/>
        </w:rPr>
        <w:t xml:space="preserve"> сведений об утвержденном перечне.</w:t>
      </w:r>
    </w:p>
    <w:p w:rsidR="00274F82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274F82" w:rsidRPr="003C2546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466C8">
        <w:rPr>
          <w:rFonts w:ascii="Times New Roman" w:hAnsi="Times New Roman" w:cs="Times New Roman"/>
          <w:sz w:val="28"/>
          <w:szCs w:val="28"/>
        </w:rPr>
        <w:t>2.1.</w:t>
      </w:r>
      <w:hyperlink r:id="rId6" w:history="1">
        <w:proofErr w:type="gramStart"/>
        <w:r w:rsidRPr="003C25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C254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Pr="007242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 w:cs="Times New Roman"/>
          <w:sz w:val="28"/>
          <w:szCs w:val="28"/>
        </w:rPr>
        <w:t>)</w:t>
      </w:r>
      <w:r w:rsidRPr="003C254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7" w:history="1">
        <w:r w:rsidRPr="003C25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согласно приложению №1;</w:t>
      </w:r>
      <w:proofErr w:type="gramEnd"/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в аренду муниципального имущества 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>, свободного от прав третьих лиц (</w:t>
      </w:r>
      <w:r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 согласно приложению № 2.</w:t>
      </w:r>
      <w:proofErr w:type="gramEnd"/>
    </w:p>
    <w:p w:rsidR="00274F82" w:rsidRDefault="00274F82" w:rsidP="00274F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обеспечить контроль исполнения настоящего постановления.</w:t>
      </w:r>
    </w:p>
    <w:p w:rsidR="00274F82" w:rsidRPr="00BB6751" w:rsidRDefault="00274F82" w:rsidP="00274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97" w:type="dxa"/>
        <w:tblLook w:val="04A0" w:firstRow="1" w:lastRow="0" w:firstColumn="1" w:lastColumn="0" w:noHBand="0" w:noVBand="1"/>
      </w:tblPr>
      <w:tblGrid>
        <w:gridCol w:w="4091"/>
        <w:gridCol w:w="1123"/>
        <w:gridCol w:w="1821"/>
        <w:gridCol w:w="2933"/>
      </w:tblGrid>
      <w:tr w:rsidR="00274F82" w:rsidRPr="00BB6751" w:rsidTr="00274F82">
        <w:trPr>
          <w:trHeight w:val="270"/>
          <w:jc w:val="center"/>
        </w:trPr>
        <w:tc>
          <w:tcPr>
            <w:tcW w:w="4091" w:type="dxa"/>
          </w:tcPr>
          <w:p w:rsidR="00274F82" w:rsidRPr="00BB6751" w:rsidRDefault="00274F82" w:rsidP="00274F82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                  </w:t>
            </w:r>
          </w:p>
        </w:tc>
        <w:tc>
          <w:tcPr>
            <w:tcW w:w="1123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2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33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З.А.Цахилаев</w:t>
            </w:r>
            <w:proofErr w:type="spellEnd"/>
          </w:p>
        </w:tc>
      </w:tr>
      <w:tr w:rsidR="00274F82" w:rsidRPr="00BB6751" w:rsidTr="00274F82">
        <w:trPr>
          <w:trHeight w:val="278"/>
          <w:jc w:val="center"/>
        </w:trPr>
        <w:tc>
          <w:tcPr>
            <w:tcW w:w="409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2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4F82" w:rsidRPr="00BB6751" w:rsidTr="00274F82">
        <w:trPr>
          <w:trHeight w:val="278"/>
          <w:jc w:val="center"/>
        </w:trPr>
        <w:tc>
          <w:tcPr>
            <w:tcW w:w="409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2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vAlign w:val="bottom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4F82" w:rsidRPr="00BB6751" w:rsidTr="00274F82">
        <w:trPr>
          <w:trHeight w:val="390"/>
          <w:jc w:val="center"/>
        </w:trPr>
        <w:tc>
          <w:tcPr>
            <w:tcW w:w="4091" w:type="dxa"/>
            <w:vAlign w:val="center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21" w:type="dxa"/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74F82" w:rsidRPr="00BB6751" w:rsidRDefault="00274F82" w:rsidP="00513C84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BC5793" w:rsidRDefault="00BC5793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C5793" w:rsidRDefault="00BC5793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C5793" w:rsidRDefault="00BC5793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74F82" w:rsidRDefault="00274F82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 администрации</w:t>
      </w:r>
    </w:p>
    <w:p w:rsidR="00274F82" w:rsidRPr="005A7D7A" w:rsidRDefault="00274F82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74F82" w:rsidRPr="005A7D7A" w:rsidRDefault="00274F82" w:rsidP="00274F82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«_13_»__12__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</w:t>
      </w:r>
      <w:r w:rsidR="00B508B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-П_</w:t>
      </w:r>
    </w:p>
    <w:p w:rsidR="00274F82" w:rsidRDefault="00274F82" w:rsidP="0027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82" w:rsidRPr="00381B0C" w:rsidRDefault="00274F82" w:rsidP="0027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1B0C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274F82" w:rsidRDefault="00274F82" w:rsidP="0027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41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Pr="00642A7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 СП</w:t>
      </w:r>
      <w:r w:rsidRPr="00642A7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642A7D">
        <w:rPr>
          <w:rFonts w:ascii="Times New Roman" w:hAnsi="Times New Roman" w:cs="Times New Roman"/>
          <w:b/>
          <w:sz w:val="28"/>
          <w:szCs w:val="28"/>
        </w:rPr>
        <w:t>»,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 (</w:t>
      </w:r>
      <w:r w:rsidRPr="000F4341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), предусмотренного </w:t>
      </w:r>
      <w:hyperlink r:id="rId8" w:history="1">
        <w:r w:rsidRPr="000F434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0F434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274F82" w:rsidRPr="000F4341" w:rsidRDefault="00274F82" w:rsidP="0027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ведения (в том числе ежегодного дополнения) и обязательного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4341"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Pr="00724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7B4BF2">
        <w:rPr>
          <w:rFonts w:ascii="Times New Roman" w:hAnsi="Times New Roman" w:cs="Times New Roman"/>
          <w:sz w:val="28"/>
          <w:szCs w:val="28"/>
        </w:rPr>
        <w:t>2. В перечень вносятся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</w:t>
      </w:r>
      <w:r w:rsidRPr="00724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B4BF2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68E2">
        <w:rPr>
          <w:rFonts w:ascii="Times New Roman" w:hAnsi="Times New Roman" w:cs="Times New Roman"/>
          <w:sz w:val="28"/>
          <w:szCs w:val="28"/>
        </w:rPr>
        <w:t xml:space="preserve"> </w:t>
      </w:r>
      <w:r w:rsidRPr="00F34BD0">
        <w:rPr>
          <w:rFonts w:ascii="Times New Roman" w:hAnsi="Times New Roman" w:cs="Times New Roman"/>
          <w:sz w:val="28"/>
          <w:szCs w:val="28"/>
        </w:rPr>
        <w:t>законодательством не установлен запрет на его передачу во временное владение и (или) пользован</w:t>
      </w:r>
      <w:r>
        <w:rPr>
          <w:rFonts w:ascii="Times New Roman" w:hAnsi="Times New Roman" w:cs="Times New Roman"/>
          <w:sz w:val="28"/>
          <w:szCs w:val="28"/>
        </w:rPr>
        <w:t>ие, в том числе в аренду на торгах или без проведения торгов;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г) имущество не является объектом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д) в отношении имущества не принято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 w:cs="Times New Roman"/>
          <w:sz w:val="28"/>
          <w:szCs w:val="28"/>
        </w:rPr>
        <w:t>решение о предоставлении его иным лицам;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е) имущество не </w:t>
      </w:r>
      <w:r>
        <w:rPr>
          <w:rFonts w:ascii="Times New Roman" w:hAnsi="Times New Roman" w:cs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прогнозны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 (программой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ж) имущество не признано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A3A4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7B4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Внесение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</w:t>
      </w: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решением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Администрация) 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 w:cs="Times New Roman"/>
          <w:sz w:val="28"/>
          <w:szCs w:val="28"/>
        </w:rPr>
        <w:t xml:space="preserve">,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предприятий, муниципальных учреждений, владеющих муниципальным имуществом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праве хозяйственного ведения или оперативного управления, 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</w:t>
      </w:r>
      <w:r w:rsidRPr="00C504A6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акционерного общества «Федеральная корпорация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имущества, включенного в перечень       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течение 10 дней обеспечивает внесение соответствующих изменений </w:t>
      </w:r>
      <w:r w:rsidRPr="00AC0036">
        <w:rPr>
          <w:rFonts w:ascii="Times New Roman" w:hAnsi="Times New Roman" w:cs="Times New Roman"/>
          <w:sz w:val="28"/>
          <w:szCs w:val="28"/>
          <w:highlight w:val="yellow"/>
        </w:rPr>
        <w:t>в отношении имущества в перечень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4. Рассмотрение предложения,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 w:cs="Times New Roman"/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 w:rsidRPr="007B4B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B4BF2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об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5. В случае принятия решения об отказе в учете предложения,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 w:cs="Times New Roman"/>
          <w:sz w:val="28"/>
          <w:szCs w:val="28"/>
        </w:rPr>
        <w:t xml:space="preserve">настоящих Правил,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B4BF2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принимает решение об отказе в учете предложения в случае, если предложенное для включения в перечень имущество не соответствует критериям, указанным в пункте 2 настоящих Правил.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7B4BF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вправе исключить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proofErr w:type="spellStart"/>
      <w:r w:rsidRPr="007B4BF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 на право заключения договора аренды земельного участка;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имущества,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 или Земельным кодексом Российской Федерации.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7B4BF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исключает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а) в отношении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B4B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4BF2">
        <w:rPr>
          <w:rFonts w:ascii="Times New Roman" w:hAnsi="Times New Roman" w:cs="Times New Roman"/>
          <w:sz w:val="28"/>
          <w:szCs w:val="28"/>
        </w:rPr>
        <w:t xml:space="preserve"> имущество прекращено по решению суда или в ино</w:t>
      </w:r>
      <w:r>
        <w:rPr>
          <w:rFonts w:ascii="Times New Roman" w:hAnsi="Times New Roman" w:cs="Times New Roman"/>
          <w:sz w:val="28"/>
          <w:szCs w:val="28"/>
        </w:rPr>
        <w:t>м установленном законодательством порядке;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имущество не соответствует критериям, установленным пунктом 2 настоящих Правил.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8.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</w:t>
      </w:r>
      <w:r>
        <w:rPr>
          <w:rFonts w:ascii="Times New Roman" w:hAnsi="Times New Roman" w:cs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 w:cs="Times New Roman"/>
          <w:sz w:val="28"/>
          <w:szCs w:val="28"/>
        </w:rPr>
        <w:t>, которые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.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9.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7B4BF2">
        <w:rPr>
          <w:rFonts w:ascii="Times New Roman" w:hAnsi="Times New Roman" w:cs="Times New Roman"/>
          <w:sz w:val="28"/>
          <w:szCs w:val="28"/>
        </w:rPr>
        <w:t>, на территориях которых имущество расположено, а также по видам имущества (недвижимое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том числе единый недвижимый комплекс,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движимое имущество).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10. 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B4BF2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:rsidR="00274F82" w:rsidRPr="007B4BF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BF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в течение 3 рабочих дней со дня утверждения.</w:t>
      </w: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74F82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4F82" w:rsidRPr="005A7D7A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74F82" w:rsidRPr="005A7D7A" w:rsidRDefault="00274F82" w:rsidP="00274F82">
      <w:pPr>
        <w:pStyle w:val="1"/>
        <w:ind w:left="4536"/>
        <w:jc w:val="right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«_13_»___12___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B508B3">
        <w:rPr>
          <w:rFonts w:ascii="Times New Roman" w:hAnsi="Times New Roman"/>
          <w:sz w:val="28"/>
          <w:szCs w:val="28"/>
        </w:rPr>
        <w:t>45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-П</w:t>
      </w:r>
    </w:p>
    <w:p w:rsidR="00274F82" w:rsidRDefault="00274F82" w:rsidP="0027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F82" w:rsidRPr="00042AA8" w:rsidRDefault="00274F82" w:rsidP="00274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2AA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42AA8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274F82" w:rsidRDefault="00274F82" w:rsidP="00274F82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17278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 w:rsidRPr="00917278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17278">
        <w:rPr>
          <w:rFonts w:ascii="Times New Roman" w:hAnsi="Times New Roman"/>
          <w:b/>
          <w:sz w:val="28"/>
          <w:szCs w:val="28"/>
        </w:rPr>
        <w:t xml:space="preserve">, свободного от прав третьих лиц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17278">
        <w:rPr>
          <w:rFonts w:ascii="Times New Roman" w:hAnsi="Times New Roman"/>
          <w:b/>
          <w:sz w:val="28"/>
          <w:szCs w:val="28"/>
        </w:rPr>
        <w:t>(</w:t>
      </w:r>
      <w:r w:rsidRPr="00917278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b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278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274F82" w:rsidRDefault="00274F82" w:rsidP="00274F82">
      <w:pPr>
        <w:pStyle w:val="ConsPlusNormal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82" w:rsidRPr="00917278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Администрация) </w:t>
      </w:r>
      <w:r w:rsidRPr="00917278">
        <w:rPr>
          <w:rFonts w:ascii="Times New Roman" w:hAnsi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</w:t>
      </w:r>
      <w:r w:rsidRPr="00917278">
        <w:rPr>
          <w:rFonts w:ascii="Times New Roman" w:eastAsiaTheme="minorHAnsi" w:hAnsi="Times New Roman"/>
          <w:sz w:val="28"/>
          <w:szCs w:val="28"/>
        </w:rPr>
        <w:t xml:space="preserve"> и организациями, образующими инфраструктуру поддержки субъектов малого и среднего предпринимательства,</w:t>
      </w:r>
      <w:r w:rsidRPr="00917278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Pr="00917278">
        <w:rPr>
          <w:rFonts w:ascii="Times New Roman" w:eastAsiaTheme="minorHAnsi" w:hAnsi="Times New Roman"/>
          <w:sz w:val="28"/>
          <w:szCs w:val="28"/>
        </w:rPr>
        <w:t xml:space="preserve"> (за исключением земельных участков)</w:t>
      </w:r>
      <w:r w:rsidRPr="00917278"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Pr="000F43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17278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Pr="00917278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</w:t>
      </w:r>
      <w:proofErr w:type="gramEnd"/>
      <w:r w:rsidRPr="0091727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17278">
        <w:rPr>
          <w:rFonts w:ascii="Times New Roman" w:eastAsiaTheme="minorHAnsi" w:hAnsi="Times New Roman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</w:t>
      </w:r>
      <w:r w:rsidRPr="00917278">
        <w:rPr>
          <w:rFonts w:ascii="Times New Roman" w:hAnsi="Times New Roman"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− имущество, перечень),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278">
        <w:rPr>
          <w:rFonts w:ascii="Times New Roman" w:eastAsiaTheme="minorHAnsi" w:hAnsi="Times New Roman"/>
          <w:sz w:val="28"/>
          <w:szCs w:val="28"/>
        </w:rPr>
        <w:t>начальный</w:t>
      </w:r>
      <w:r w:rsidRPr="00917278">
        <w:rPr>
          <w:rFonts w:ascii="Times New Roman" w:hAnsi="Times New Roman"/>
          <w:sz w:val="28"/>
          <w:szCs w:val="28"/>
        </w:rPr>
        <w:t xml:space="preserve"> размер арендной платы на основании отчета </w:t>
      </w:r>
      <w:r w:rsidRPr="00917278">
        <w:rPr>
          <w:rFonts w:ascii="Times New Roman" w:eastAsiaTheme="minorHAnsi" w:hAnsi="Times New Roman"/>
          <w:sz w:val="28"/>
          <w:szCs w:val="28"/>
        </w:rPr>
        <w:t>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274F82" w:rsidRPr="00917278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17278">
        <w:rPr>
          <w:rFonts w:ascii="Times New Roman" w:hAnsi="Times New Roman"/>
          <w:sz w:val="28"/>
          <w:szCs w:val="28"/>
        </w:rPr>
        <w:t xml:space="preserve">В течение года с даты включения имущества в перечень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17278"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</w:t>
      </w:r>
      <w:r w:rsidRPr="00917278">
        <w:rPr>
          <w:rFonts w:ascii="Times New Roman" w:hAnsi="Times New Roman"/>
          <w:sz w:val="28"/>
          <w:szCs w:val="28"/>
        </w:rPr>
        <w:lastRenderedPageBreak/>
        <w:t xml:space="preserve">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917278">
        <w:rPr>
          <w:rFonts w:ascii="Times New Roman" w:eastAsiaTheme="minorHAnsi" w:hAnsi="Times New Roman"/>
          <w:sz w:val="28"/>
          <w:szCs w:val="28"/>
        </w:rPr>
        <w:t>принимает решение о проведении аукциона на право заключения договора аренды земельного участка среди субъектов малого и</w:t>
      </w:r>
      <w:proofErr w:type="gramEnd"/>
      <w:r w:rsidRPr="00917278">
        <w:rPr>
          <w:rFonts w:ascii="Times New Roman" w:eastAsiaTheme="minorHAnsi" w:hAnsi="Times New Roman"/>
          <w:sz w:val="28"/>
          <w:szCs w:val="28"/>
        </w:rPr>
        <w:t xml:space="preserve"> среднего предпринимательства </w:t>
      </w:r>
      <w:r w:rsidRPr="00917278">
        <w:rPr>
          <w:rFonts w:ascii="Times New Roman" w:hAnsi="Times New Roman"/>
          <w:sz w:val="28"/>
          <w:szCs w:val="28"/>
        </w:rPr>
        <w:t>или осуществляет предоставление имущества по заявлению указанных лиц в случаях,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7278">
        <w:rPr>
          <w:rFonts w:ascii="Times New Roman" w:hAnsi="Times New Roman"/>
          <w:sz w:val="28"/>
          <w:szCs w:val="28"/>
        </w:rPr>
        <w:t>«О защите конкуренции»</w:t>
      </w:r>
      <w:r w:rsidRPr="00917278">
        <w:rPr>
          <w:rFonts w:ascii="Times New Roman" w:eastAsiaTheme="minorHAnsi" w:hAnsi="Times New Roman"/>
          <w:sz w:val="28"/>
          <w:szCs w:val="28"/>
        </w:rPr>
        <w:t xml:space="preserve"> или Земельным</w:t>
      </w:r>
      <w:r>
        <w:rPr>
          <w:rFonts w:ascii="Times New Roman" w:eastAsiaTheme="minorHAnsi" w:hAnsi="Times New Roman"/>
          <w:sz w:val="28"/>
          <w:szCs w:val="28"/>
        </w:rPr>
        <w:t xml:space="preserve"> кодексом</w:t>
      </w:r>
      <w:r w:rsidRPr="00917278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Pr="00917278">
        <w:rPr>
          <w:rFonts w:ascii="Times New Roman" w:hAnsi="Times New Roman"/>
          <w:sz w:val="28"/>
          <w:szCs w:val="28"/>
        </w:rPr>
        <w:t>.</w:t>
      </w:r>
    </w:p>
    <w:p w:rsidR="00274F82" w:rsidRPr="002D4D96" w:rsidRDefault="00274F82" w:rsidP="00274F82">
      <w:pPr>
        <w:pStyle w:val="ConsPlusNormal"/>
        <w:adjustRightInd w:val="0"/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2D4D96">
        <w:rPr>
          <w:rFonts w:ascii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 договоров аренды в отношении имущества, включенного в перечень,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D4D96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Theme="minorHAnsi" w:hAnsi="Times New Roman"/>
          <w:sz w:val="28"/>
          <w:szCs w:val="28"/>
        </w:rPr>
        <w:t>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</w:t>
      </w:r>
      <w:r>
        <w:rPr>
          <w:rFonts w:ascii="Times New Roman" w:eastAsiaTheme="minorHAnsi" w:hAnsi="Times New Roman"/>
          <w:sz w:val="28"/>
          <w:szCs w:val="28"/>
        </w:rPr>
        <w:t>рендная плата за имущество (за исключением земельных участков), включенное в перечень, вносится в следующем порядке:</w:t>
      </w:r>
    </w:p>
    <w:p w:rsidR="00274F82" w:rsidRPr="0072423E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17278">
        <w:rPr>
          <w:rFonts w:ascii="Times New Roman" w:hAnsi="Times New Roman" w:cs="Times New Roman"/>
          <w:sz w:val="28"/>
          <w:szCs w:val="28"/>
        </w:rPr>
        <w:t>40</w:t>
      </w:r>
      <w:r w:rsidRPr="0072423E">
        <w:rPr>
          <w:rFonts w:ascii="Times New Roman" w:hAnsi="Times New Roman" w:cs="Times New Roman"/>
          <w:sz w:val="28"/>
          <w:szCs w:val="28"/>
        </w:rPr>
        <w:t xml:space="preserve"> процентов размера арендной платы;</w:t>
      </w:r>
    </w:p>
    <w:p w:rsidR="00274F82" w:rsidRPr="0072423E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во второй год аренды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60 процентов размера арендной платы;</w:t>
      </w:r>
    </w:p>
    <w:p w:rsidR="00274F82" w:rsidRPr="0072423E" w:rsidRDefault="00274F82" w:rsidP="00274F82">
      <w:pPr>
        <w:pStyle w:val="ConsPlusNormal"/>
        <w:spacing w:line="36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третий год аренды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80 процентов размера арендной платы;</w:t>
      </w:r>
    </w:p>
    <w:p w:rsidR="00274F82" w:rsidRDefault="00274F82" w:rsidP="00274F82">
      <w:pPr>
        <w:pStyle w:val="ConsPlusNormal"/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2423E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72423E">
        <w:rPr>
          <w:rFonts w:ascii="Times New Roman" w:hAnsi="Times New Roman" w:cs="Times New Roman"/>
          <w:sz w:val="28"/>
          <w:szCs w:val="28"/>
        </w:rPr>
        <w:t xml:space="preserve"> 100 процентов размера арендной </w:t>
      </w:r>
      <w:r>
        <w:rPr>
          <w:rFonts w:ascii="Times New Roman" w:hAnsi="Times New Roman" w:cs="Times New Roman"/>
          <w:sz w:val="28"/>
          <w:szCs w:val="28"/>
        </w:rPr>
        <w:t>платы;</w:t>
      </w:r>
    </w:p>
    <w:p w:rsidR="00274F82" w:rsidRDefault="00274F82" w:rsidP="00274F82">
      <w:pPr>
        <w:pStyle w:val="ConsPlusNormal"/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аренды, указанного в подпункте «а» пункта 3 настоящего Порядка на новый срок, арендная плата за </w:t>
      </w:r>
      <w:r>
        <w:rPr>
          <w:rFonts w:ascii="Times New Roman" w:eastAsiaTheme="minorHAnsi" w:hAnsi="Times New Roman"/>
          <w:sz w:val="28"/>
          <w:szCs w:val="28"/>
        </w:rPr>
        <w:t xml:space="preserve">имущество </w:t>
      </w:r>
      <w:r>
        <w:rPr>
          <w:rFonts w:ascii="Times New Roman" w:eastAsiaTheme="minorHAnsi" w:hAnsi="Times New Roman"/>
          <w:sz w:val="28"/>
          <w:szCs w:val="28"/>
        </w:rPr>
        <w:br/>
        <w:t xml:space="preserve">(за исключением земельных участков), включенное в перечень, определяется на основании отчета о рыночной стоимости ежемесячной арендной платы,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подготовленного уполномоченным лицом.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в) размер арендной платы за земельные участки, определенный по результатам аукциона, или в соответствии с пунктом 3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государственной или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муниципалной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г) возможность возмездного отчуждения арендодателем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</w:t>
      </w:r>
      <w:r w:rsidR="005476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подпунктах 6, 8 и 9пункта 2 статьи 39.3 Земельного кодекса Российской Федерации;</w:t>
      </w:r>
    </w:p>
    <w:p w:rsidR="00274F82" w:rsidRDefault="00274F82" w:rsidP="00274F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д) обязательство арендатора не осуществлять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(перенаем), передачу 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среднего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предпринимательства, и в случае, если в субаренду предоставляется имущество, предусмотренное пунктом 14 части 1 статьи 17.1 Федерального закона «О защите конкуренции».</w:t>
      </w:r>
    </w:p>
    <w:p w:rsidR="00274F82" w:rsidRDefault="00274F82" w:rsidP="00274F8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317167" w:rsidRDefault="00317167"/>
    <w:sectPr w:rsidR="0031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9"/>
    <w:rsid w:val="001668E2"/>
    <w:rsid w:val="00274F82"/>
    <w:rsid w:val="00317167"/>
    <w:rsid w:val="00547639"/>
    <w:rsid w:val="006D5089"/>
    <w:rsid w:val="007455BE"/>
    <w:rsid w:val="00B508B3"/>
    <w:rsid w:val="00B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4F8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274F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74F8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7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274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74F82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274F8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274F8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paragraph">
    <w:name w:val="paragraph"/>
    <w:basedOn w:val="a"/>
    <w:uiPriority w:val="99"/>
    <w:rsid w:val="002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74F82"/>
  </w:style>
  <w:style w:type="paragraph" w:styleId="a7">
    <w:name w:val="Balloon Text"/>
    <w:basedOn w:val="a"/>
    <w:link w:val="a8"/>
    <w:uiPriority w:val="99"/>
    <w:semiHidden/>
    <w:unhideWhenUsed/>
    <w:rsid w:val="002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F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4F8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274F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74F82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7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274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74F82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274F8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274F8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paragraph">
    <w:name w:val="paragraph"/>
    <w:basedOn w:val="a"/>
    <w:uiPriority w:val="99"/>
    <w:rsid w:val="002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74F82"/>
  </w:style>
  <w:style w:type="paragraph" w:styleId="a7">
    <w:name w:val="Balloon Text"/>
    <w:basedOn w:val="a"/>
    <w:link w:val="a8"/>
    <w:uiPriority w:val="99"/>
    <w:semiHidden/>
    <w:unhideWhenUsed/>
    <w:rsid w:val="002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F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2669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2019-12-13T17:59:00Z</dcterms:created>
  <dcterms:modified xsi:type="dcterms:W3CDTF">2019-12-15T09:38:00Z</dcterms:modified>
</cp:coreProperties>
</file>